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"/>
        <w:gridCol w:w="276"/>
        <w:gridCol w:w="676"/>
        <w:gridCol w:w="208"/>
        <w:gridCol w:w="300"/>
        <w:gridCol w:w="837"/>
        <w:gridCol w:w="1306"/>
        <w:gridCol w:w="1309"/>
        <w:gridCol w:w="63"/>
        <w:gridCol w:w="1016"/>
        <w:gridCol w:w="92"/>
        <w:gridCol w:w="329"/>
      </w:tblGrid>
      <w:tr w:rsidR="00D37AAD" w:rsidRPr="00A22864" w:rsidTr="00C8309B">
        <w:trPr>
          <w:trHeight w:val="227"/>
          <w:jc w:val="center"/>
        </w:trPr>
        <w:tc>
          <w:tcPr>
            <w:tcW w:w="2010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990" w:type="pct"/>
            <w:gridSpan w:val="6"/>
            <w:vAlign w:val="center"/>
          </w:tcPr>
          <w:p w:rsidR="00D37AAD" w:rsidRPr="00866A84" w:rsidRDefault="00866A84" w:rsidP="00E42D3B">
            <w:r>
              <w:t>Момчило Ристановић</w:t>
            </w: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2010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990" w:type="pct"/>
            <w:gridSpan w:val="6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2010" w:type="pct"/>
            <w:gridSpan w:val="6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990" w:type="pct"/>
            <w:gridSpan w:val="6"/>
            <w:vAlign w:val="center"/>
          </w:tcPr>
          <w:p w:rsidR="00D37AAD" w:rsidRPr="00F70A36" w:rsidRDefault="00F70A36" w:rsidP="00E42D3B">
            <w:r>
              <w:t>Хумана генетика</w:t>
            </w: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1402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08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49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997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44" w:type="pct"/>
            <w:gridSpan w:val="3"/>
            <w:shd w:val="clear" w:color="auto" w:fill="auto"/>
            <w:vAlign w:val="center"/>
          </w:tcPr>
          <w:p w:rsidR="00D37AAD" w:rsidRPr="00646624" w:rsidRDefault="00D37AAD" w:rsidP="00E42D3B">
            <w:r>
              <w:t>Ужа научна односно уметничка област</w:t>
            </w: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1402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08" w:type="pct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2016</w:t>
            </w:r>
          </w:p>
        </w:tc>
        <w:tc>
          <w:tcPr>
            <w:tcW w:w="949" w:type="pct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997" w:type="pct"/>
            <w:gridSpan w:val="2"/>
            <w:shd w:val="clear" w:color="auto" w:fill="auto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Хумана генетика</w:t>
            </w:r>
          </w:p>
        </w:tc>
        <w:tc>
          <w:tcPr>
            <w:tcW w:w="1044" w:type="pct"/>
            <w:gridSpan w:val="3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1402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08" w:type="pct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2007</w:t>
            </w:r>
          </w:p>
        </w:tc>
        <w:tc>
          <w:tcPr>
            <w:tcW w:w="949" w:type="pct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997" w:type="pct"/>
            <w:gridSpan w:val="2"/>
            <w:shd w:val="clear" w:color="auto" w:fill="auto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Хумана генетика</w:t>
            </w:r>
          </w:p>
        </w:tc>
        <w:tc>
          <w:tcPr>
            <w:tcW w:w="1044" w:type="pct"/>
            <w:gridSpan w:val="3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1402" w:type="pct"/>
            <w:gridSpan w:val="5"/>
            <w:vAlign w:val="center"/>
          </w:tcPr>
          <w:p w:rsidR="00D37AAD" w:rsidRPr="00646624" w:rsidRDefault="00D37AAD" w:rsidP="00E42D3B">
            <w:r>
              <w:t>Магистратура</w:t>
            </w:r>
          </w:p>
        </w:tc>
        <w:tc>
          <w:tcPr>
            <w:tcW w:w="608" w:type="pct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1999</w:t>
            </w:r>
          </w:p>
        </w:tc>
        <w:tc>
          <w:tcPr>
            <w:tcW w:w="949" w:type="pct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997" w:type="pct"/>
            <w:gridSpan w:val="2"/>
            <w:shd w:val="clear" w:color="auto" w:fill="auto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Хумана репродукција</w:t>
            </w:r>
          </w:p>
        </w:tc>
        <w:tc>
          <w:tcPr>
            <w:tcW w:w="1044" w:type="pct"/>
            <w:gridSpan w:val="3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1402" w:type="pct"/>
            <w:gridSpan w:val="5"/>
            <w:vAlign w:val="center"/>
          </w:tcPr>
          <w:p w:rsidR="00D37AAD" w:rsidRDefault="00D37AAD" w:rsidP="00E42D3B">
            <w:r>
              <w:t>Мастер диплома</w:t>
            </w:r>
          </w:p>
        </w:tc>
        <w:tc>
          <w:tcPr>
            <w:tcW w:w="608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949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997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1044" w:type="pct"/>
            <w:gridSpan w:val="3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1402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08" w:type="pct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1993</w:t>
            </w:r>
          </w:p>
        </w:tc>
        <w:tc>
          <w:tcPr>
            <w:tcW w:w="949" w:type="pct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997" w:type="pct"/>
            <w:gridSpan w:val="2"/>
            <w:shd w:val="clear" w:color="auto" w:fill="auto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Хумана медицина</w:t>
            </w:r>
          </w:p>
        </w:tc>
        <w:tc>
          <w:tcPr>
            <w:tcW w:w="1044" w:type="pct"/>
            <w:gridSpan w:val="3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E42D3B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D37AAD" w:rsidRPr="00646624" w:rsidRDefault="00D37AAD" w:rsidP="00E42D3B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540" w:type="pct"/>
            <w:gridSpan w:val="2"/>
            <w:shd w:val="clear" w:color="auto" w:fill="auto"/>
            <w:vAlign w:val="center"/>
          </w:tcPr>
          <w:p w:rsidR="00D37AAD" w:rsidRPr="00646624" w:rsidRDefault="00D37AAD" w:rsidP="00E42D3B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:rsidR="00D37AAD" w:rsidRPr="00646624" w:rsidRDefault="00D37AAD" w:rsidP="00E42D3B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817" w:type="pct"/>
            <w:gridSpan w:val="8"/>
            <w:vAlign w:val="center"/>
          </w:tcPr>
          <w:p w:rsidR="00D37AAD" w:rsidRPr="00646624" w:rsidRDefault="00D37AAD" w:rsidP="00E42D3B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540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817" w:type="pct"/>
            <w:gridSpan w:val="8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Молекуларна генетика човека</w:t>
            </w: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540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817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540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817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540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817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E42D3B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D37AAD" w:rsidRPr="00A22864" w:rsidRDefault="00D37AAD" w:rsidP="00E42D3B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D37AAD" w:rsidRPr="00A22864" w:rsidTr="00C8309B">
        <w:trPr>
          <w:trHeight w:val="227"/>
          <w:jc w:val="center"/>
        </w:trPr>
        <w:tc>
          <w:tcPr>
            <w:tcW w:w="339" w:type="pct"/>
            <w:vAlign w:val="center"/>
          </w:tcPr>
          <w:p w:rsidR="00D37AAD" w:rsidRPr="00C8309B" w:rsidRDefault="00C8309B" w:rsidP="00E42D3B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4422" w:type="pct"/>
            <w:gridSpan w:val="10"/>
            <w:shd w:val="clear" w:color="auto" w:fill="auto"/>
            <w:vAlign w:val="center"/>
          </w:tcPr>
          <w:p w:rsidR="00D37AAD" w:rsidRPr="00A22864" w:rsidRDefault="00C8309B" w:rsidP="00C8309B">
            <w:pPr>
              <w:contextualSpacing/>
              <w:jc w:val="both"/>
              <w:rPr>
                <w:lang w:val="sr-Cyrl-CS"/>
              </w:rPr>
            </w:pPr>
            <w:r w:rsidRPr="00153B3C">
              <w:rPr>
                <w:b/>
                <w:bCs/>
                <w:lang w:val="sl-SI"/>
              </w:rPr>
              <w:t>Ristanović M</w:t>
            </w:r>
            <w:r w:rsidRPr="00153B3C">
              <w:rPr>
                <w:bCs/>
                <w:lang w:val="sl-SI"/>
              </w:rPr>
              <w:t>,</w:t>
            </w:r>
            <w:r w:rsidRPr="00153B3C">
              <w:rPr>
                <w:lang w:val="sl-SI"/>
              </w:rPr>
              <w:t xml:space="preserve"> Bunjevački V., Tulić C., Novaković I., Perović V., Luković LJ. and Milašin J.: </w:t>
            </w:r>
            <w:r w:rsidRPr="00153B3C">
              <w:t xml:space="preserve">Prevalence of Y chromosome microdeletions in infertile men with microdeletions in infertile men with severe oligozoospermia in Serbia, </w:t>
            </w:r>
            <w:r w:rsidRPr="00153B3C">
              <w:rPr>
                <w:lang w:val="sl-SI"/>
              </w:rPr>
              <w:t xml:space="preserve">Genetic Couns, 2007; </w:t>
            </w:r>
            <w:r w:rsidRPr="00153B3C">
              <w:rPr>
                <w:rStyle w:val="src1"/>
                <w:lang w:val="sl-SI"/>
              </w:rPr>
              <w:t>18(3):337-42.</w:t>
            </w:r>
            <w:r w:rsidRPr="00153B3C">
              <w:rPr>
                <w:lang w:val="sl-SI"/>
              </w:rPr>
              <w:t xml:space="preserve"> </w:t>
            </w:r>
            <w:r w:rsidRPr="00153B3C">
              <w:rPr>
                <w:b/>
              </w:rPr>
              <w:t>M23, IF 0,607</w:t>
            </w:r>
          </w:p>
        </w:tc>
        <w:tc>
          <w:tcPr>
            <w:tcW w:w="239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Р</w:t>
            </w: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339" w:type="pct"/>
            <w:vAlign w:val="center"/>
          </w:tcPr>
          <w:p w:rsidR="00D37AAD" w:rsidRPr="00C8309B" w:rsidRDefault="00C8309B" w:rsidP="00E42D3B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4355" w:type="pct"/>
            <w:gridSpan w:val="9"/>
            <w:shd w:val="clear" w:color="auto" w:fill="auto"/>
            <w:vAlign w:val="center"/>
          </w:tcPr>
          <w:p w:rsidR="00D37AAD" w:rsidRPr="00A22864" w:rsidRDefault="00CC1B00" w:rsidP="00E42D3B">
            <w:pPr>
              <w:rPr>
                <w:lang w:val="sr-Cyrl-CS"/>
              </w:rPr>
            </w:pPr>
            <w:r w:rsidRPr="00153B3C">
              <w:t xml:space="preserve">Nikolić A., Knežević S., Krsmanović M., Micev M., </w:t>
            </w:r>
            <w:r w:rsidRPr="00153B3C">
              <w:rPr>
                <w:b/>
              </w:rPr>
              <w:t>Ristanović M.</w:t>
            </w:r>
            <w:r w:rsidRPr="00153B3C">
              <w:t xml:space="preserve"> and Radojković D.</w:t>
            </w:r>
            <w:r w:rsidRPr="00153B3C">
              <w:rPr>
                <w:rStyle w:val="Strong"/>
              </w:rPr>
              <w:t xml:space="preserve"> </w:t>
            </w:r>
            <w:r w:rsidRPr="00153B3C">
              <w:rPr>
                <w:rStyle w:val="Strong"/>
                <w:b w:val="0"/>
              </w:rPr>
              <w:t>Analysis of K-ras gene codon 12 mutation in pancreatic tissue of patients with pancreatic cancer.</w:t>
            </w:r>
            <w:r w:rsidRPr="00153B3C">
              <w:rPr>
                <w:rStyle w:val="Strong"/>
              </w:rPr>
              <w:t xml:space="preserve"> </w:t>
            </w:r>
            <w:r w:rsidRPr="00153B3C">
              <w:t>Archives of Biological Sciences, 2009;61(4): 623-629.</w:t>
            </w:r>
            <w:r w:rsidRPr="00153B3C">
              <w:rPr>
                <w:b/>
              </w:rPr>
              <w:t xml:space="preserve"> M23, IF 0,238</w:t>
            </w:r>
          </w:p>
        </w:tc>
        <w:tc>
          <w:tcPr>
            <w:tcW w:w="305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339" w:type="pct"/>
            <w:vAlign w:val="center"/>
          </w:tcPr>
          <w:p w:rsidR="00D37AAD" w:rsidRPr="00C8309B" w:rsidRDefault="00C8309B" w:rsidP="00E42D3B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4355" w:type="pct"/>
            <w:gridSpan w:val="9"/>
            <w:shd w:val="clear" w:color="auto" w:fill="auto"/>
            <w:vAlign w:val="center"/>
          </w:tcPr>
          <w:p w:rsidR="00D37AAD" w:rsidRPr="00A22864" w:rsidRDefault="00CC1B00" w:rsidP="00E42D3B">
            <w:pPr>
              <w:rPr>
                <w:lang w:val="sr-Cyrl-CS"/>
              </w:rPr>
            </w:pPr>
            <w:r w:rsidRPr="00153B3C">
              <w:t xml:space="preserve">Nikolić A., Knežević S., Krsmanović M., Micev M., </w:t>
            </w:r>
            <w:r w:rsidRPr="00153B3C">
              <w:rPr>
                <w:b/>
              </w:rPr>
              <w:t>Ristanović M.</w:t>
            </w:r>
            <w:r w:rsidRPr="00153B3C">
              <w:t xml:space="preserve"> and Radojković D.</w:t>
            </w:r>
            <w:r w:rsidRPr="00153B3C">
              <w:rPr>
                <w:rStyle w:val="Strong"/>
              </w:rPr>
              <w:t xml:space="preserve"> </w:t>
            </w:r>
            <w:r w:rsidRPr="00153B3C">
              <w:rPr>
                <w:rStyle w:val="Strong"/>
                <w:b w:val="0"/>
              </w:rPr>
              <w:t>Analysis of K-ras gene codon 12 mutation in pancreatic tissue of patients with pancreatic cancer.</w:t>
            </w:r>
            <w:r w:rsidRPr="00153B3C">
              <w:rPr>
                <w:rStyle w:val="Strong"/>
              </w:rPr>
              <w:t xml:space="preserve"> </w:t>
            </w:r>
            <w:r w:rsidRPr="00153B3C">
              <w:t>Archives of Biological Sciences, 2009;61(4): 623-629.</w:t>
            </w:r>
            <w:r w:rsidRPr="00153B3C">
              <w:rPr>
                <w:b/>
              </w:rPr>
              <w:t xml:space="preserve"> M23, IF 0,238</w:t>
            </w:r>
          </w:p>
        </w:tc>
        <w:tc>
          <w:tcPr>
            <w:tcW w:w="305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339" w:type="pct"/>
            <w:vAlign w:val="center"/>
          </w:tcPr>
          <w:p w:rsidR="00D37AAD" w:rsidRPr="00C8309B" w:rsidRDefault="00C8309B" w:rsidP="00E42D3B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4355" w:type="pct"/>
            <w:gridSpan w:val="9"/>
            <w:shd w:val="clear" w:color="auto" w:fill="auto"/>
            <w:vAlign w:val="center"/>
          </w:tcPr>
          <w:p w:rsidR="00D37AAD" w:rsidRPr="00A22864" w:rsidRDefault="00CC1B00" w:rsidP="00E42D3B">
            <w:pPr>
              <w:rPr>
                <w:lang w:val="sr-Cyrl-CS"/>
              </w:rPr>
            </w:pPr>
            <w:r w:rsidRPr="00153B3C">
              <w:rPr>
                <w:color w:val="000000"/>
                <w:lang w:val="sl-SI"/>
              </w:rPr>
              <w:t xml:space="preserve">Nikolic A., Kojic S., Knezevic S., Krivokapic Z., </w:t>
            </w:r>
            <w:r w:rsidRPr="00153B3C">
              <w:rPr>
                <w:b/>
                <w:bCs/>
                <w:lang w:val="sl-SI"/>
              </w:rPr>
              <w:t>Ristanović M</w:t>
            </w:r>
            <w:r w:rsidRPr="00153B3C">
              <w:rPr>
                <w:color w:val="000000"/>
              </w:rPr>
              <w:t xml:space="preserve"> , Radojkovic D.: Structural and functional analysis of SMAD4 gene promoter in malignantpancreatic and colorectal tissues: Detection of two novel polymorphicnucleotide repeats. Cancer Epidemiology, 2011;35(3):265-271.</w:t>
            </w:r>
            <w:r w:rsidRPr="00153B3C">
              <w:rPr>
                <w:b/>
              </w:rPr>
              <w:t xml:space="preserve"> M21, IF 2,711</w:t>
            </w:r>
          </w:p>
        </w:tc>
        <w:tc>
          <w:tcPr>
            <w:tcW w:w="305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339" w:type="pct"/>
            <w:vAlign w:val="center"/>
          </w:tcPr>
          <w:p w:rsidR="00D37AAD" w:rsidRPr="00C8309B" w:rsidRDefault="00C8309B" w:rsidP="00E42D3B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4355" w:type="pct"/>
            <w:gridSpan w:val="9"/>
            <w:shd w:val="clear" w:color="auto" w:fill="auto"/>
            <w:vAlign w:val="center"/>
          </w:tcPr>
          <w:p w:rsidR="002C3093" w:rsidRPr="00153B3C" w:rsidRDefault="002C3093" w:rsidP="002C3093">
            <w:pPr>
              <w:shd w:val="clear" w:color="auto" w:fill="FFFFFF"/>
              <w:contextualSpacing/>
              <w:jc w:val="both"/>
              <w:rPr>
                <w:b/>
              </w:rPr>
            </w:pPr>
            <w:r w:rsidRPr="00153B3C">
              <w:t>7</w:t>
            </w:r>
            <w:r w:rsidRPr="00153B3C">
              <w:rPr>
                <w:b/>
              </w:rPr>
              <w:t xml:space="preserve">. </w:t>
            </w:r>
            <w:r w:rsidRPr="00153B3C">
              <w:t xml:space="preserve">Hodžić A., </w:t>
            </w:r>
            <w:r w:rsidRPr="00153B3C">
              <w:rPr>
                <w:b/>
              </w:rPr>
              <w:t>Ristanović M</w:t>
            </w:r>
            <w:r w:rsidRPr="00153B3C">
              <w:t>., Zorn B., Tulić C., Maver A., Novaković I., Peterlin B. Genetic Variation in Circadian Rhythm Genes CLOCK and ARANTL AS Risk Faktor in Male Infertility. PLOS ONE, 2013;8(3)259220,1-5.</w:t>
            </w:r>
            <w:r w:rsidRPr="00153B3C">
              <w:rPr>
                <w:b/>
              </w:rPr>
              <w:t>M21, IF 3,702</w:t>
            </w:r>
          </w:p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05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339" w:type="pct"/>
            <w:vAlign w:val="center"/>
          </w:tcPr>
          <w:p w:rsidR="00D37AAD" w:rsidRPr="00C8309B" w:rsidRDefault="00C8309B" w:rsidP="00E42D3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6.</w:t>
            </w:r>
          </w:p>
        </w:tc>
        <w:tc>
          <w:tcPr>
            <w:tcW w:w="4355" w:type="pct"/>
            <w:gridSpan w:val="9"/>
            <w:shd w:val="clear" w:color="auto" w:fill="auto"/>
            <w:vAlign w:val="center"/>
          </w:tcPr>
          <w:p w:rsidR="00D37AAD" w:rsidRPr="00A22864" w:rsidRDefault="002C3093" w:rsidP="00E42D3B">
            <w:pPr>
              <w:rPr>
                <w:lang w:val="sr-Cyrl-CS"/>
              </w:rPr>
            </w:pPr>
            <w:r w:rsidRPr="00153B3C">
              <w:t xml:space="preserve">Nikolić A., </w:t>
            </w:r>
            <w:r w:rsidRPr="00153B3C">
              <w:rPr>
                <w:b/>
              </w:rPr>
              <w:t>Ristanović M</w:t>
            </w:r>
            <w:r w:rsidRPr="00153B3C">
              <w:t>., Živaljević V., Rankov AD., Radojković D., Paunović I. SMAD4 promoter mutations in patients with tyroid tumors. Exp Mol Pathol, 2015;99(1):100-103.</w:t>
            </w:r>
            <w:r w:rsidRPr="00153B3C">
              <w:rPr>
                <w:b/>
              </w:rPr>
              <w:t>M21, IF 2,706</w:t>
            </w:r>
          </w:p>
        </w:tc>
        <w:tc>
          <w:tcPr>
            <w:tcW w:w="305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339" w:type="pct"/>
            <w:vAlign w:val="center"/>
          </w:tcPr>
          <w:p w:rsidR="00D37AAD" w:rsidRPr="00C8309B" w:rsidRDefault="00C8309B" w:rsidP="00E42D3B">
            <w:pPr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4355" w:type="pct"/>
            <w:gridSpan w:val="9"/>
            <w:shd w:val="clear" w:color="auto" w:fill="auto"/>
            <w:vAlign w:val="center"/>
          </w:tcPr>
          <w:p w:rsidR="00D37AAD" w:rsidRPr="00A22864" w:rsidRDefault="00C5606E" w:rsidP="00E42D3B">
            <w:pPr>
              <w:rPr>
                <w:lang w:val="sr-Cyrl-CS"/>
              </w:rPr>
            </w:pPr>
            <w:r w:rsidRPr="00153B3C">
              <w:t>Hodžić A.,</w:t>
            </w:r>
            <w:r w:rsidRPr="00153B3C">
              <w:rPr>
                <w:b/>
              </w:rPr>
              <w:t xml:space="preserve"> Ristanović M</w:t>
            </w:r>
            <w:r w:rsidRPr="00153B3C">
              <w:t>.,</w:t>
            </w:r>
            <w:r w:rsidRPr="00153B3C">
              <w:rPr>
                <w:rStyle w:val="docsum-authors"/>
                <w:color w:val="212121"/>
              </w:rPr>
              <w:t xml:space="preserve"> Zorn B.,</w:t>
            </w:r>
            <w:r w:rsidRPr="00153B3C">
              <w:rPr>
                <w:lang w:val="sl-SI"/>
              </w:rPr>
              <w:t xml:space="preserve"> Tulić C.,</w:t>
            </w:r>
            <w:r w:rsidRPr="00153B3C">
              <w:rPr>
                <w:rStyle w:val="docsum-authors"/>
                <w:color w:val="212121"/>
              </w:rPr>
              <w:t xml:space="preserve"> Maver A.,</w:t>
            </w:r>
            <w:r w:rsidRPr="00153B3C">
              <w:rPr>
                <w:lang w:val="sl-SI"/>
              </w:rPr>
              <w:t xml:space="preserve"> Novaković I.,</w:t>
            </w:r>
            <w:r w:rsidRPr="00153B3C">
              <w:rPr>
                <w:rStyle w:val="docsum-authors"/>
                <w:color w:val="212121"/>
              </w:rPr>
              <w:t xml:space="preserve"> Plaseska-Karanfilska D. and </w:t>
            </w:r>
            <w:r w:rsidRPr="00153B3C">
              <w:t>Peterlin B. Genetic variation in leptin and leptin receptor genes as risk factor for idiopathic male infertility. Andrology, 2017; 5(1):70-74.</w:t>
            </w:r>
            <w:r w:rsidRPr="00153B3C">
              <w:rPr>
                <w:rStyle w:val="docsum-authors"/>
                <w:b/>
                <w:color w:val="212121"/>
              </w:rPr>
              <w:t xml:space="preserve"> M21, IF 2.734</w:t>
            </w:r>
          </w:p>
        </w:tc>
        <w:tc>
          <w:tcPr>
            <w:tcW w:w="305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339" w:type="pct"/>
            <w:vAlign w:val="center"/>
          </w:tcPr>
          <w:p w:rsidR="00D37AAD" w:rsidRPr="00C8309B" w:rsidRDefault="00C8309B" w:rsidP="00E42D3B">
            <w:pPr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4355" w:type="pct"/>
            <w:gridSpan w:val="9"/>
            <w:shd w:val="clear" w:color="auto" w:fill="auto"/>
            <w:vAlign w:val="center"/>
          </w:tcPr>
          <w:p w:rsidR="00D37AAD" w:rsidRPr="00A22864" w:rsidRDefault="00C5606E" w:rsidP="00E42D3B">
            <w:pPr>
              <w:rPr>
                <w:lang w:val="sr-Cyrl-CS"/>
              </w:rPr>
            </w:pPr>
            <w:r w:rsidRPr="00153B3C">
              <w:rPr>
                <w:color w:val="000000"/>
              </w:rPr>
              <w:t xml:space="preserve">Hočevar K., Peterlin A., Jovanović AM., Božović A., </w:t>
            </w:r>
            <w:r w:rsidRPr="00153B3C">
              <w:rPr>
                <w:b/>
                <w:color w:val="000000"/>
              </w:rPr>
              <w:t>Ristanović M</w:t>
            </w:r>
            <w:r w:rsidRPr="00153B3C">
              <w:rPr>
                <w:color w:val="000000"/>
              </w:rPr>
              <w:t>., Tul N., Peterlin B. Association between angiotensin-converting enzyme gene insertion/deletion polymorphism andsusceptibility to preterm birth:case control study and meta-analysis. Eur J Obstet Gynecol Reprod  Biol, 2018; 231:122-128</w:t>
            </w:r>
            <w:r w:rsidRPr="00153B3C">
              <w:rPr>
                <w:b/>
              </w:rPr>
              <w:t xml:space="preserve"> M21, IF 2,711</w:t>
            </w:r>
          </w:p>
        </w:tc>
        <w:tc>
          <w:tcPr>
            <w:tcW w:w="305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339" w:type="pct"/>
            <w:vAlign w:val="center"/>
          </w:tcPr>
          <w:p w:rsidR="00D37AAD" w:rsidRPr="00C8309B" w:rsidRDefault="00C8309B" w:rsidP="00E42D3B">
            <w:pPr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4355" w:type="pct"/>
            <w:gridSpan w:val="9"/>
            <w:shd w:val="clear" w:color="auto" w:fill="auto"/>
            <w:vAlign w:val="center"/>
          </w:tcPr>
          <w:p w:rsidR="00D37AAD" w:rsidRPr="00A22864" w:rsidRDefault="00C5606E" w:rsidP="00E42D3B">
            <w:pPr>
              <w:rPr>
                <w:lang w:val="sr-Cyrl-CS"/>
              </w:rPr>
            </w:pPr>
            <w:r w:rsidRPr="00153B3C">
              <w:t xml:space="preserve">Hodžić A., Lavatar P.,  </w:t>
            </w:r>
            <w:r w:rsidRPr="00153B3C">
              <w:rPr>
                <w:b/>
              </w:rPr>
              <w:t>Ristanović M</w:t>
            </w:r>
            <w:r w:rsidRPr="00153B3C">
              <w:t xml:space="preserve">., Novaković I., Dotlić J., Peterlin B. Genetic variation in the CLOCK gene is associated with idiphatic recurrent spontaneous abortion. PLoS One, 2018 May 16;13(5) </w:t>
            </w:r>
            <w:r w:rsidRPr="00153B3C">
              <w:rPr>
                <w:b/>
              </w:rPr>
              <w:t>M22, IF</w:t>
            </w:r>
            <w:r w:rsidRPr="00153B3C">
              <w:t xml:space="preserve"> </w:t>
            </w:r>
            <w:r w:rsidRPr="00153B3C">
              <w:rPr>
                <w:b/>
              </w:rPr>
              <w:t>2.776</w:t>
            </w:r>
          </w:p>
        </w:tc>
        <w:tc>
          <w:tcPr>
            <w:tcW w:w="305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339" w:type="pct"/>
            <w:vAlign w:val="center"/>
          </w:tcPr>
          <w:p w:rsidR="00D37AAD" w:rsidRPr="00C8309B" w:rsidRDefault="00C8309B" w:rsidP="00E42D3B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4355" w:type="pct"/>
            <w:gridSpan w:val="9"/>
            <w:shd w:val="clear" w:color="auto" w:fill="auto"/>
            <w:vAlign w:val="center"/>
          </w:tcPr>
          <w:p w:rsidR="00D37AAD" w:rsidRPr="00A22864" w:rsidRDefault="00C5606E" w:rsidP="00E42D3B">
            <w:pPr>
              <w:rPr>
                <w:lang w:val="sr-Cyrl-CS"/>
              </w:rPr>
            </w:pPr>
            <w:r w:rsidRPr="00153B3C">
              <w:rPr>
                <w:rStyle w:val="docsum-authors"/>
                <w:color w:val="212121"/>
              </w:rPr>
              <w:t>Trifunovic J., Prvanovic M., Jovanovic A., Dzamic Z., Lazic M., </w:t>
            </w:r>
            <w:r w:rsidRPr="00153B3C">
              <w:rPr>
                <w:rStyle w:val="docsum-authors"/>
                <w:b/>
                <w:bCs/>
                <w:color w:val="212121"/>
              </w:rPr>
              <w:t>Ristanovic M.</w:t>
            </w:r>
            <w:r w:rsidRPr="00153B3C">
              <w:rPr>
                <w:rStyle w:val="docsum-authors"/>
                <w:color w:val="212121"/>
              </w:rPr>
              <w:t xml:space="preserve">, Radojevic-Skodric S., Basta-Jovanovic G. Immunohistochemical expression of proliferative markers in renal cell carcinoma. J BUON, 2018;23(4):1103-1110. </w:t>
            </w:r>
            <w:r w:rsidRPr="00153B3C">
              <w:rPr>
                <w:rStyle w:val="docsum-authors"/>
                <w:b/>
                <w:color w:val="212121"/>
              </w:rPr>
              <w:t>M23   IF</w:t>
            </w:r>
            <w:r w:rsidRPr="00153B3C">
              <w:t xml:space="preserve"> </w:t>
            </w:r>
            <w:r w:rsidRPr="00153B3C">
              <w:rPr>
                <w:rStyle w:val="docsum-authors"/>
                <w:b/>
                <w:color w:val="212121"/>
              </w:rPr>
              <w:t>1.379</w:t>
            </w:r>
          </w:p>
        </w:tc>
        <w:tc>
          <w:tcPr>
            <w:tcW w:w="305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339" w:type="pct"/>
            <w:vAlign w:val="center"/>
          </w:tcPr>
          <w:p w:rsidR="00D37AAD" w:rsidRPr="00C8309B" w:rsidRDefault="00C8309B" w:rsidP="00E42D3B">
            <w:pPr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w="4355" w:type="pct"/>
            <w:gridSpan w:val="9"/>
            <w:shd w:val="clear" w:color="auto" w:fill="auto"/>
            <w:vAlign w:val="center"/>
          </w:tcPr>
          <w:p w:rsidR="00D37AAD" w:rsidRPr="00CE06CA" w:rsidRDefault="00C5606E" w:rsidP="00E42D3B">
            <w:pPr>
              <w:rPr>
                <w:lang w:val="en-US"/>
              </w:rPr>
            </w:pPr>
            <w:r w:rsidRPr="00153B3C">
              <w:rPr>
                <w:rStyle w:val="docsum-authors"/>
                <w:color w:val="212121"/>
              </w:rPr>
              <w:t>Hodžić A., Maver A., Plaseska-Karanfilska D., </w:t>
            </w:r>
            <w:r w:rsidRPr="00153B3C">
              <w:rPr>
                <w:rStyle w:val="docsum-authors"/>
                <w:b/>
                <w:bCs/>
                <w:color w:val="212121"/>
              </w:rPr>
              <w:t>Ristanović M.</w:t>
            </w:r>
            <w:r w:rsidRPr="00153B3C">
              <w:rPr>
                <w:rStyle w:val="docsum-authors"/>
                <w:color w:val="212121"/>
              </w:rPr>
              <w:t>, Noveski P., Zorn B., Terzic M., Kunej T., Peterlin B.</w:t>
            </w:r>
            <w:r w:rsidRPr="00153B3C">
              <w:t xml:space="preserve"> De novo mutations in idophatic male infertility-A pilot study. Andrology, 2021;9(1):212-220.</w:t>
            </w:r>
            <w:r w:rsidRPr="00153B3C">
              <w:rPr>
                <w:rStyle w:val="docsum-authors"/>
                <w:b/>
                <w:color w:val="212121"/>
              </w:rPr>
              <w:t xml:space="preserve"> M21, IF 2.860</w:t>
            </w:r>
          </w:p>
        </w:tc>
        <w:tc>
          <w:tcPr>
            <w:tcW w:w="305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E42D3B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1031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969" w:type="pct"/>
            <w:gridSpan w:val="9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99</w:t>
            </w: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1031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3969" w:type="pct"/>
            <w:gridSpan w:val="9"/>
            <w:vAlign w:val="center"/>
          </w:tcPr>
          <w:p w:rsidR="00D37AAD" w:rsidRPr="00A22864" w:rsidRDefault="00866A84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16</w:t>
            </w: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1031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880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 w:rsidR="00866A84">
              <w:rPr>
                <w:lang w:val="sr-Cyrl-CS"/>
              </w:rPr>
              <w:t xml:space="preserve"> 2</w:t>
            </w:r>
          </w:p>
        </w:tc>
        <w:tc>
          <w:tcPr>
            <w:tcW w:w="1089" w:type="pct"/>
            <w:gridSpan w:val="4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D37AAD" w:rsidRPr="00A22864" w:rsidTr="00CE06CA">
        <w:trPr>
          <w:trHeight w:val="227"/>
          <w:jc w:val="center"/>
        </w:trPr>
        <w:tc>
          <w:tcPr>
            <w:tcW w:w="1031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3969" w:type="pct"/>
            <w:gridSpan w:val="9"/>
            <w:vAlign w:val="center"/>
          </w:tcPr>
          <w:p w:rsidR="00CE06CA" w:rsidRPr="00153B3C" w:rsidRDefault="00CE06CA" w:rsidP="00CE06CA">
            <w:pPr>
              <w:jc w:val="both"/>
              <w:rPr>
                <w:lang w:val="sl-SI"/>
              </w:rPr>
            </w:pPr>
            <w:r w:rsidRPr="00153B3C">
              <w:rPr>
                <w:lang w:val="sl-SI"/>
              </w:rPr>
              <w:t xml:space="preserve">2004. god. pohađao je kurs  »Funkcionalna genomika«, koji je na Medicinskom fakultetu u Beogradu održao prof. D. Marphy. </w:t>
            </w:r>
          </w:p>
          <w:p w:rsidR="00CE06CA" w:rsidRPr="00153B3C" w:rsidRDefault="00CE06CA" w:rsidP="00CE06CA">
            <w:pPr>
              <w:pStyle w:val="BodyTextIndent"/>
              <w:spacing w:after="0"/>
              <w:ind w:left="0"/>
              <w:jc w:val="both"/>
              <w:rPr>
                <w:sz w:val="20"/>
                <w:szCs w:val="20"/>
                <w:lang w:val="sl-SI"/>
              </w:rPr>
            </w:pPr>
            <w:r w:rsidRPr="00153B3C">
              <w:rPr>
                <w:sz w:val="20"/>
                <w:szCs w:val="20"/>
              </w:rPr>
              <w:t xml:space="preserve">2005. </w:t>
            </w:r>
            <w:proofErr w:type="gramStart"/>
            <w:r w:rsidRPr="00153B3C">
              <w:rPr>
                <w:sz w:val="20"/>
                <w:szCs w:val="20"/>
              </w:rPr>
              <w:t>god</w:t>
            </w:r>
            <w:proofErr w:type="gramEnd"/>
            <w:r w:rsidRPr="00153B3C">
              <w:rPr>
                <w:sz w:val="20"/>
                <w:szCs w:val="20"/>
              </w:rPr>
              <w:t xml:space="preserve">. </w:t>
            </w:r>
            <w:r w:rsidRPr="00153B3C">
              <w:rPr>
                <w:sz w:val="20"/>
                <w:szCs w:val="20"/>
                <w:lang w:val="sl-SI"/>
              </w:rPr>
              <w:t>pohađao je kurs  »Theoretical and Practical ICGEB Course-</w:t>
            </w:r>
            <w:r w:rsidRPr="00153B3C">
              <w:rPr>
                <w:sz w:val="20"/>
                <w:szCs w:val="20"/>
              </w:rPr>
              <w:t>Molecular Diagnostics of Human Diseases</w:t>
            </w:r>
            <w:r w:rsidRPr="00153B3C">
              <w:rPr>
                <w:sz w:val="20"/>
                <w:szCs w:val="20"/>
                <w:lang w:val="sl-SI"/>
              </w:rPr>
              <w:t>«</w:t>
            </w:r>
            <w:r w:rsidRPr="00153B3C">
              <w:rPr>
                <w:sz w:val="20"/>
                <w:szCs w:val="20"/>
              </w:rPr>
              <w:t>, Institute of Molecular Genetics and Genetic Engineering, Belgrade.</w:t>
            </w:r>
          </w:p>
          <w:p w:rsidR="00CE06CA" w:rsidRPr="00153B3C" w:rsidRDefault="00CE06CA" w:rsidP="00CE06CA">
            <w:pPr>
              <w:pStyle w:val="BodyTextIndent"/>
              <w:spacing w:after="0"/>
              <w:ind w:left="0"/>
              <w:jc w:val="both"/>
              <w:rPr>
                <w:sz w:val="20"/>
                <w:szCs w:val="20"/>
                <w:lang w:val="sl-SI"/>
              </w:rPr>
            </w:pPr>
            <w:r w:rsidRPr="00153B3C">
              <w:rPr>
                <w:sz w:val="20"/>
                <w:szCs w:val="20"/>
                <w:lang w:val="sl-SI"/>
              </w:rPr>
              <w:t>2005.god. pohađao je kurs  »Eksperimentalna metodologija naučnog istraživanja u medicini, dobra laboratorijska praksa-rad sa eksperimantalnim životinjama«, Medicinski fakulet Univerziteta u Beogradu.</w:t>
            </w:r>
          </w:p>
          <w:p w:rsidR="00CE06CA" w:rsidRPr="00153B3C" w:rsidRDefault="00CE06CA" w:rsidP="00CE06CA">
            <w:pPr>
              <w:pStyle w:val="BodyTextIndent"/>
              <w:spacing w:after="0"/>
              <w:ind w:left="0"/>
              <w:jc w:val="both"/>
              <w:rPr>
                <w:sz w:val="20"/>
                <w:szCs w:val="20"/>
                <w:lang w:val="sl-SI"/>
              </w:rPr>
            </w:pPr>
            <w:r w:rsidRPr="00153B3C">
              <w:rPr>
                <w:sz w:val="20"/>
                <w:szCs w:val="20"/>
                <w:lang w:val="sl-SI"/>
              </w:rPr>
              <w:t xml:space="preserve">2009.god. pohađao je kurs Agilent technologies- »Novi pristup Life Science tehnologiji«, seminar, DSP Chromatography, Beograd  </w:t>
            </w:r>
          </w:p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E42D3B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D37AAD" w:rsidRPr="00A22864" w:rsidTr="00E42D3B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EF4268" w:rsidRDefault="00EF4268"/>
    <w:sectPr w:rsidR="00EF4268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259" w:rsidRDefault="00452259" w:rsidP="00D37AAD">
      <w:r>
        <w:separator/>
      </w:r>
    </w:p>
  </w:endnote>
  <w:endnote w:type="continuationSeparator" w:id="0">
    <w:p w:rsidR="00452259" w:rsidRDefault="00452259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259" w:rsidRDefault="00452259" w:rsidP="00D37AAD">
      <w:r>
        <w:separator/>
      </w:r>
    </w:p>
  </w:footnote>
  <w:footnote w:type="continuationSeparator" w:id="0">
    <w:p w:rsidR="00452259" w:rsidRDefault="00452259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37AAD"/>
    <w:rsid w:val="002C3093"/>
    <w:rsid w:val="003642E6"/>
    <w:rsid w:val="00452259"/>
    <w:rsid w:val="00866A84"/>
    <w:rsid w:val="008A7DDF"/>
    <w:rsid w:val="00AD3E8E"/>
    <w:rsid w:val="00C5606E"/>
    <w:rsid w:val="00C8309B"/>
    <w:rsid w:val="00CC1B00"/>
    <w:rsid w:val="00CE06CA"/>
    <w:rsid w:val="00D37AAD"/>
    <w:rsid w:val="00E42D3B"/>
    <w:rsid w:val="00EF4268"/>
    <w:rsid w:val="00F7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src1">
    <w:name w:val="src1"/>
    <w:rsid w:val="00C8309B"/>
    <w:rPr>
      <w:vanish w:val="0"/>
      <w:webHidden w:val="0"/>
      <w:specVanish w:val="0"/>
    </w:rPr>
  </w:style>
  <w:style w:type="character" w:styleId="Strong">
    <w:name w:val="Strong"/>
    <w:uiPriority w:val="22"/>
    <w:qFormat/>
    <w:rsid w:val="00CC1B00"/>
    <w:rPr>
      <w:b/>
      <w:bCs/>
    </w:rPr>
  </w:style>
  <w:style w:type="character" w:customStyle="1" w:styleId="docsum-authors">
    <w:name w:val="docsum-authors"/>
    <w:basedOn w:val="DefaultParagraphFont"/>
    <w:rsid w:val="00C5606E"/>
  </w:style>
  <w:style w:type="paragraph" w:styleId="BodyTextIndent">
    <w:name w:val="Body Text Indent"/>
    <w:basedOn w:val="Normal"/>
    <w:link w:val="BodyTextIndentChar"/>
    <w:rsid w:val="00CE06CA"/>
    <w:pPr>
      <w:widowControl/>
      <w:autoSpaceDE/>
      <w:autoSpaceDN/>
      <w:adjustRightInd/>
      <w:spacing w:after="120"/>
      <w:ind w:left="283"/>
    </w:pPr>
    <w:rPr>
      <w:rFonts w:eastAsia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CE06C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Ivanka Markovic</cp:lastModifiedBy>
  <cp:revision>2</cp:revision>
  <dcterms:created xsi:type="dcterms:W3CDTF">2021-12-21T10:04:00Z</dcterms:created>
  <dcterms:modified xsi:type="dcterms:W3CDTF">2021-12-21T10:04:00Z</dcterms:modified>
</cp:coreProperties>
</file>